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AD5A1C" w14:paraId="151F7C30" w14:textId="77777777" w:rsidTr="00053269">
        <w:tc>
          <w:tcPr>
            <w:tcW w:w="4725" w:type="dxa"/>
            <w:shd w:val="clear" w:color="auto" w:fill="993366"/>
          </w:tcPr>
          <w:p w14:paraId="5F75A4F1" w14:textId="5C1F7B7B" w:rsidR="00AD5A1C" w:rsidRPr="00053269" w:rsidRDefault="00AD5A1C" w:rsidP="008A07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053269">
              <w:rPr>
                <w:rFonts w:ascii="Arial" w:hAnsi="Arial" w:cs="Arial"/>
                <w:b/>
                <w:color w:val="FFFFFF" w:themeColor="background1"/>
              </w:rPr>
              <w:t>Improving Health Outcomes &amp; Removing Inequalities in Europe</w:t>
            </w:r>
          </w:p>
        </w:tc>
        <w:tc>
          <w:tcPr>
            <w:tcW w:w="4725" w:type="dxa"/>
            <w:shd w:val="clear" w:color="auto" w:fill="008080"/>
          </w:tcPr>
          <w:p w14:paraId="3F45A850" w14:textId="3EB7EDBE" w:rsidR="00AD5A1C" w:rsidRPr="00053269" w:rsidRDefault="00AD5A1C" w:rsidP="008A07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3269">
              <w:rPr>
                <w:rFonts w:ascii="Arial" w:hAnsi="Arial" w:cs="Arial"/>
                <w:b/>
                <w:color w:val="FFFFFF" w:themeColor="background1"/>
              </w:rPr>
              <w:t>Supporting Sustainable Healthcare Systems</w:t>
            </w:r>
          </w:p>
        </w:tc>
        <w:tc>
          <w:tcPr>
            <w:tcW w:w="4726" w:type="dxa"/>
            <w:shd w:val="clear" w:color="auto" w:fill="FF9900"/>
          </w:tcPr>
          <w:p w14:paraId="6E56DB14" w14:textId="31E5E30A" w:rsidR="00AD5A1C" w:rsidRPr="00053269" w:rsidRDefault="00AD5A1C" w:rsidP="008A07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3269">
              <w:rPr>
                <w:rFonts w:ascii="Arial" w:hAnsi="Arial" w:cs="Arial"/>
                <w:b/>
                <w:color w:val="FFFFFF" w:themeColor="background1"/>
              </w:rPr>
              <w:t>Building a Thriving Innovative Life Sciences Sector</w:t>
            </w:r>
          </w:p>
        </w:tc>
      </w:tr>
      <w:tr w:rsidR="00AD5A1C" w14:paraId="0E6EB094" w14:textId="77777777" w:rsidTr="008A0761">
        <w:tc>
          <w:tcPr>
            <w:tcW w:w="4725" w:type="dxa"/>
          </w:tcPr>
          <w:p w14:paraId="73EC02E5" w14:textId="77777777" w:rsidR="00AD5A1C" w:rsidRPr="00D20ECB" w:rsidRDefault="00AD5A1C" w:rsidP="008A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037F3A4" w14:textId="77777777" w:rsidR="00AD5A1C" w:rsidRPr="00D20ECB" w:rsidRDefault="00AD5A1C" w:rsidP="008C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3D8ABC83" w14:textId="77777777" w:rsidR="00AD5A1C" w:rsidRPr="00D20ECB" w:rsidRDefault="00AD5A1C" w:rsidP="008C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1C" w14:paraId="1616CEAF" w14:textId="77777777" w:rsidTr="008A0761">
        <w:tc>
          <w:tcPr>
            <w:tcW w:w="4725" w:type="dxa"/>
          </w:tcPr>
          <w:p w14:paraId="409E3E95" w14:textId="77777777" w:rsidR="00D20ECB" w:rsidRPr="00237C67" w:rsidRDefault="00D20ECB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C67">
              <w:rPr>
                <w:rFonts w:ascii="Arial" w:hAnsi="Arial" w:cs="Arial"/>
                <w:sz w:val="20"/>
                <w:szCs w:val="20"/>
                <w:lang w:val="en-US"/>
              </w:rPr>
              <w:t xml:space="preserve">Advances in healthcare have moved society beyond the concern of simply extending life. We also must concern ourselves with improving life in later years, especially as age-related diseases become more prevalent. A person’s life isn’t just about quantity, but quality. </w:t>
            </w:r>
          </w:p>
          <w:p w14:paraId="11D3C248" w14:textId="77777777" w:rsidR="00D20ECB" w:rsidRPr="003F2663" w:rsidRDefault="00D20ECB" w:rsidP="003F266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Every European lives on average 18.4 years with disability or illness. This is set to rise as the share of disability life-years, as a percentage of total life-years, increased in all but two EU-28 countries from 1990-2010. </w:t>
            </w:r>
          </w:p>
          <w:p w14:paraId="03D10A11" w14:textId="77777777" w:rsidR="00D20ECB" w:rsidRPr="003F2663" w:rsidRDefault="00D20ECB" w:rsidP="003F266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An ageing population increases the prevalence of age-related diseases (predicted two-fold increase in late-stage Alzheimer’s to 7.5m by 2050).</w:t>
            </w:r>
          </w:p>
          <w:p w14:paraId="057BF3B7" w14:textId="77777777" w:rsidR="00D20ECB" w:rsidRPr="003F2663" w:rsidRDefault="00D20ECB" w:rsidP="003F266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Demographic and lifestyle changes are predicted to result in an increased incidence of cancer (400,000 new cases projected between 2010 – 2020).</w:t>
            </w:r>
          </w:p>
          <w:p w14:paraId="792F0295" w14:textId="601238B5" w:rsidR="00AD5A1C" w:rsidRPr="00237C67" w:rsidRDefault="00AD5A1C" w:rsidP="008A0761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3DE5EE9" w14:textId="044CBE29" w:rsidR="00237C67" w:rsidRPr="00237C67" w:rsidRDefault="00237C67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C67">
              <w:rPr>
                <w:rFonts w:ascii="Arial" w:hAnsi="Arial" w:cs="Arial"/>
                <w:sz w:val="20"/>
                <w:szCs w:val="20"/>
                <w:lang w:val="en-US"/>
              </w:rPr>
              <w:t xml:space="preserve">While there is a perception that medicines are the cause of rising healthcare costs in Europe, this is not the case. In Europe, medicines expenditure accounts for less than 15% of total healthcare expenditure – far behind other interventions,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237C67">
              <w:rPr>
                <w:rFonts w:ascii="Arial" w:hAnsi="Arial" w:cs="Arial"/>
                <w:sz w:val="20"/>
                <w:szCs w:val="20"/>
                <w:lang w:val="en-US"/>
              </w:rPr>
              <w:t xml:space="preserve"> inpatient care and long-term nursing care. </w:t>
            </w:r>
          </w:p>
          <w:p w14:paraId="74EBE9A8" w14:textId="77777777" w:rsidR="00237C67" w:rsidRPr="003F2663" w:rsidRDefault="00237C67" w:rsidP="003F266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Medicines accounted for less that 15% of the growth in healthcare expenditure across OECD-countries in the period 2004-2010.</w:t>
            </w:r>
          </w:p>
          <w:p w14:paraId="1B82F9BA" w14:textId="3D89B255" w:rsidR="00AD5A1C" w:rsidRPr="003F2663" w:rsidRDefault="00237C67" w:rsidP="003F266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Medicines prices are actually down, thanks largely to both price control measures and the highly competitive market that exists for medicines post-expiry. This has led to the average unit costs of medicines having declined by 16% since 2000, against a 25% increase in general consumer prices.</w:t>
            </w:r>
          </w:p>
        </w:tc>
        <w:tc>
          <w:tcPr>
            <w:tcW w:w="4726" w:type="dxa"/>
          </w:tcPr>
          <w:p w14:paraId="0520BD7B" w14:textId="31074B44" w:rsidR="00AD5A1C" w:rsidRPr="00972012" w:rsidRDefault="00AD5A1C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>The EU is facing increasingly tough competition, with Europe consistently lagging behind the US as the place where innovators want to test and launch their products first</w:t>
            </w:r>
            <w:r w:rsidR="00D20E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411DAAB" w14:textId="525C674A" w:rsidR="00AD5A1C" w:rsidRPr="003F2663" w:rsidRDefault="00AD5A1C" w:rsidP="003F266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1960s, Europe was the pharmacy capital of the world, accounting for nearly 60% of all new chemical entities. While the US has since caught and overtaken Europe, the continent remains a medicines powerhouse </w:t>
            </w:r>
          </w:p>
          <w:p w14:paraId="4BFEBACC" w14:textId="77777777" w:rsidR="00AD5A1C" w:rsidRPr="003F2663" w:rsidRDefault="00AD5A1C" w:rsidP="003F266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Out of the Top 100 </w:t>
            </w:r>
            <w:proofErr w:type="spellStart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 for medical research, 56 are American and only 37 are European. Bearing further scrutiny, eight of the Top 10 academic </w:t>
            </w:r>
            <w:proofErr w:type="spellStart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 are American and Asia is catching-up fast. </w:t>
            </w:r>
          </w:p>
          <w:p w14:paraId="0AB3281E" w14:textId="77777777" w:rsidR="00AD5A1C" w:rsidRPr="00972012" w:rsidRDefault="00AD5A1C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63" w14:paraId="67F50137" w14:textId="77777777" w:rsidTr="008A0761">
        <w:tc>
          <w:tcPr>
            <w:tcW w:w="4725" w:type="dxa"/>
          </w:tcPr>
          <w:p w14:paraId="034FCF86" w14:textId="77777777" w:rsidR="003F2663" w:rsidRPr="00237C67" w:rsidRDefault="003F2663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</w:tcPr>
          <w:p w14:paraId="27D8F3AA" w14:textId="77777777" w:rsidR="003F2663" w:rsidRPr="00237C67" w:rsidRDefault="003F2663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6" w:type="dxa"/>
          </w:tcPr>
          <w:p w14:paraId="49088C23" w14:textId="77777777" w:rsidR="003F2663" w:rsidRPr="00972012" w:rsidRDefault="003F2663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5A1C" w14:paraId="32E92571" w14:textId="77777777" w:rsidTr="008A0761">
        <w:tc>
          <w:tcPr>
            <w:tcW w:w="4725" w:type="dxa"/>
          </w:tcPr>
          <w:p w14:paraId="0D4281AA" w14:textId="5566C28E" w:rsidR="00D20ECB" w:rsidRPr="00972012" w:rsidRDefault="00D20ECB" w:rsidP="008A0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 xml:space="preserve">In recent decades, we have made huge improvements in health outcomes and life expectancy. Medicines have played a key role in this achievement, notably in areas of infectious disease, chronic conditions – even cancer. </w:t>
            </w:r>
          </w:p>
          <w:p w14:paraId="4B74FE8B" w14:textId="77777777" w:rsidR="00D20ECB" w:rsidRPr="003F2663" w:rsidRDefault="00D20ECB" w:rsidP="003F266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In Europe alone, men and women can expect to live a decade longer than they would have in the 1950s. </w:t>
            </w:r>
          </w:p>
          <w:p w14:paraId="4E231412" w14:textId="3FBA765B" w:rsidR="00F91474" w:rsidRDefault="00D20ECB" w:rsidP="003F266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Cancer – once seen as a major killer with poor prognosis for survival – is in many cases now considered treatable, particularly with early diagnosis.</w:t>
            </w:r>
          </w:p>
          <w:p w14:paraId="6F5B470A" w14:textId="1BC13D80" w:rsidR="00F91474" w:rsidRDefault="00F91474" w:rsidP="00F91474"/>
          <w:p w14:paraId="5F611C82" w14:textId="2B8F8C3B" w:rsidR="00AD5A1C" w:rsidRPr="00F91474" w:rsidRDefault="00F91474" w:rsidP="00F91474">
            <w:pPr>
              <w:tabs>
                <w:tab w:val="left" w:pos="2880"/>
              </w:tabs>
            </w:pPr>
            <w:r>
              <w:lastRenderedPageBreak/>
              <w:tab/>
            </w:r>
          </w:p>
        </w:tc>
        <w:tc>
          <w:tcPr>
            <w:tcW w:w="4725" w:type="dxa"/>
          </w:tcPr>
          <w:p w14:paraId="4ADE6076" w14:textId="77777777" w:rsidR="00D20ECB" w:rsidRPr="00972012" w:rsidRDefault="00D20ECB" w:rsidP="008A0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 recent study by the European Commission projects that, without new approaches, average healthcare spending could rise from just under 7% of GDP to almost 9% of GDP by 2060. </w:t>
            </w:r>
          </w:p>
          <w:p w14:paraId="50276B7A" w14:textId="77777777" w:rsidR="00D20ECB" w:rsidRPr="003F2663" w:rsidRDefault="00D20ECB" w:rsidP="003F2663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20"/>
                <w:szCs w:val="20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Already, chronic diseases account for 75% (over </w:t>
            </w:r>
            <w:r w:rsidRPr="003F2663">
              <w:rPr>
                <w:rStyle w:val="apple-converted-space"/>
                <w:rFonts w:ascii="Arial" w:eastAsia="Times New Roman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3F2663">
              <w:rPr>
                <w:rFonts w:ascii="Arial" w:eastAsia="Times New Roman" w:hAnsi="Arial" w:cs="Arial"/>
                <w:color w:val="545454"/>
                <w:sz w:val="20"/>
                <w:szCs w:val="20"/>
                <w:shd w:val="clear" w:color="auto" w:fill="FFFFFF"/>
              </w:rPr>
              <w:t>€</w:t>
            </w: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700billion) of Europe’s healthcare bill and are responsible for up to a 7% GDP loss in some EU countries. </w:t>
            </w:r>
          </w:p>
          <w:p w14:paraId="135314A5" w14:textId="77777777" w:rsidR="00D20ECB" w:rsidRPr="003F2663" w:rsidRDefault="00D20ECB" w:rsidP="003F266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Key risk factors for chronic diseases (age, adult obesity) are projected to increase; with them, we can expect increasing incidence and impact of chronic conditions. </w:t>
            </w:r>
          </w:p>
          <w:p w14:paraId="32C5D387" w14:textId="77777777" w:rsidR="00AD5A1C" w:rsidRPr="00D20ECB" w:rsidRDefault="00AD5A1C" w:rsidP="008A076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6" w:type="dxa"/>
          </w:tcPr>
          <w:p w14:paraId="6C86C9F1" w14:textId="77777777" w:rsidR="00BC7E32" w:rsidRPr="00972012" w:rsidRDefault="00BC7E32" w:rsidP="00BC7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 xml:space="preserve">Pharmaceutical R&amp;D creates skilled labor that contributes to European economies. </w:t>
            </w:r>
          </w:p>
          <w:p w14:paraId="6A50A57A" w14:textId="09FE1F63" w:rsidR="00AD5A1C" w:rsidRPr="00BC7E32" w:rsidRDefault="00BC7E32" w:rsidP="00BC7E32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7E32">
              <w:rPr>
                <w:rFonts w:ascii="Arial" w:hAnsi="Arial" w:cs="Arial"/>
                <w:sz w:val="20"/>
                <w:szCs w:val="20"/>
                <w:lang w:val="en-US"/>
              </w:rPr>
              <w:t>The pharmaceutical industry employs over 700,000 people in Europe, contributing 17% of total business enterprise R&amp;D employment.</w:t>
            </w:r>
          </w:p>
        </w:tc>
      </w:tr>
      <w:tr w:rsidR="00F91474" w14:paraId="0B9B1DD5" w14:textId="77777777" w:rsidTr="008A0761">
        <w:tc>
          <w:tcPr>
            <w:tcW w:w="4725" w:type="dxa"/>
          </w:tcPr>
          <w:p w14:paraId="45496747" w14:textId="77777777" w:rsidR="00F91474" w:rsidRPr="00972012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Despite progress, inequalities persist across Europe, both between and within countries. The pharmaceutical industry is dedicated to reducing healthcare inequalities – but it cannot accomplish this alone. Greater equilibrium will require a collaborative effort bringing together policy-makers and healthcare stakeholders</w:t>
            </w:r>
            <w:r w:rsidRPr="009720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0BE8DC" w14:textId="77777777" w:rsidR="00F91474" w:rsidRPr="003F2663" w:rsidRDefault="00F91474" w:rsidP="00F9147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Life expectancy in Romania is 9 years less than in Spain; the vast differences in access to healthcare and medicines between these two countries is a contributing factor. </w:t>
            </w:r>
          </w:p>
          <w:p w14:paraId="5FF10022" w14:textId="77777777" w:rsidR="00F91474" w:rsidRPr="003F2663" w:rsidRDefault="00F91474" w:rsidP="00F9147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In the UK, each London Underground station travelling east from Westminster represents nearly one year of life expectancy lost.</w:t>
            </w:r>
          </w:p>
          <w:p w14:paraId="0E1891A4" w14:textId="77777777" w:rsidR="00F91474" w:rsidRPr="00972012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</w:tcPr>
          <w:p w14:paraId="3B9F0BBE" w14:textId="77777777" w:rsidR="00F91474" w:rsidRPr="00972012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Early, </w:t>
            </w: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use of medicines is one of the most effective interventions a health system can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make</w:t>
            </w: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 xml:space="preserve">. Medicines help keep costs </w:t>
            </w:r>
            <w:r w:rsidRPr="0097201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down</w:t>
            </w:r>
            <w:r w:rsidRPr="0097201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5F92475F" w14:textId="77777777" w:rsidR="00F91474" w:rsidRPr="003F2663" w:rsidRDefault="00F91474" w:rsidP="00F9147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Medicines play a key role in many chronic disease pathways, with some of the lowest cost pathways - such as cardiovascular disease, respiratory disease and diabetes - encompassing a pharmacological approach at their heart. Even in these cases, the cost of medicines comprises a relatively small proportion of the total costs of the condition – as an example just 5% in the treatment of coronary heart failure in Germany.</w:t>
            </w:r>
          </w:p>
          <w:p w14:paraId="09C8EF11" w14:textId="77777777" w:rsidR="00F91474" w:rsidRPr="003F2663" w:rsidRDefault="00F91474" w:rsidP="00F9147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 xml:space="preserve">Early and appropriate use of medicines can help avoid far more costly interventions, like hospital admissions. A patient who remain adherent to pharmaceutical treatment costs the system anywhere between 50% less (e.g. in </w:t>
            </w:r>
            <w:proofErr w:type="spellStart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dyslipidaemia</w:t>
            </w:r>
            <w:proofErr w:type="spellEnd"/>
            <w:r w:rsidRPr="003F2663">
              <w:rPr>
                <w:rFonts w:ascii="Arial" w:hAnsi="Arial" w:cs="Arial"/>
                <w:sz w:val="20"/>
                <w:szCs w:val="20"/>
                <w:lang w:val="en-US"/>
              </w:rPr>
              <w:t>) and 90% less (e.g. in hypertension) than a patient who does not stay on treatment.</w:t>
            </w:r>
          </w:p>
          <w:p w14:paraId="5F97E91D" w14:textId="77777777" w:rsidR="00F91474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6" w:type="dxa"/>
          </w:tcPr>
          <w:p w14:paraId="0B68A088" w14:textId="7506BDC0" w:rsidR="00F91474" w:rsidRPr="003F2663" w:rsidRDefault="00F91474" w:rsidP="00BC7E3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D6E1A3" w14:textId="77777777" w:rsidR="00F91474" w:rsidRPr="00BC7E32" w:rsidRDefault="00F91474" w:rsidP="00BC7E3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474" w14:paraId="0BFD2BBA" w14:textId="77777777" w:rsidTr="008A0761">
        <w:tc>
          <w:tcPr>
            <w:tcW w:w="4725" w:type="dxa"/>
          </w:tcPr>
          <w:p w14:paraId="2729A858" w14:textId="77777777" w:rsidR="00F91474" w:rsidRPr="00972012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</w:tcPr>
          <w:p w14:paraId="042C07FF" w14:textId="77777777" w:rsidR="00F91474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6" w:type="dxa"/>
          </w:tcPr>
          <w:p w14:paraId="283B74D1" w14:textId="77777777" w:rsidR="00F91474" w:rsidRPr="00972012" w:rsidRDefault="00F91474" w:rsidP="00F9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CA20DB" w14:textId="77777777" w:rsidR="003F2663" w:rsidRDefault="003F2663" w:rsidP="00AD5A1C">
      <w:pPr>
        <w:widowControl w:val="0"/>
        <w:autoSpaceDE w:val="0"/>
        <w:autoSpaceDN w:val="0"/>
        <w:adjustRightInd w:val="0"/>
      </w:pPr>
    </w:p>
    <w:p w14:paraId="2B5B65B3" w14:textId="77777777" w:rsidR="003F2663" w:rsidRDefault="003F2663" w:rsidP="00AD5A1C">
      <w:pPr>
        <w:widowControl w:val="0"/>
        <w:autoSpaceDE w:val="0"/>
        <w:autoSpaceDN w:val="0"/>
        <w:adjustRightInd w:val="0"/>
      </w:pPr>
    </w:p>
    <w:p w14:paraId="78DB915B" w14:textId="77777777" w:rsidR="008C0740" w:rsidRDefault="008C0740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599FF654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D038794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8B9ECB3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1A643930" w14:textId="77777777" w:rsidR="008C0740" w:rsidRDefault="008C0740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D74EC75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BE93A79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1E844452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F92D961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FAA1B62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2EFE13A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27A05493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CD95176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816EF56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2E89D6B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20EBF048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166DCEE7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DA7381B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3202286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2D949CA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4F0C5CA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3E0B670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EC3E1A5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7BB4538D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B7511EE" w14:textId="77777777" w:rsidR="00F91474" w:rsidRDefault="00F91474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FF6358B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370EFF0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0EB186E2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4B904486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78A199E6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6A9A08DC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252C6F3" w14:textId="77777777" w:rsidR="003F2663" w:rsidRDefault="003F2663" w:rsidP="008C0740">
      <w:pPr>
        <w:tabs>
          <w:tab w:val="center" w:pos="6980"/>
          <w:tab w:val="left" w:pos="8453"/>
        </w:tabs>
        <w:rPr>
          <w:rFonts w:ascii="Arial" w:hAnsi="Arial" w:cs="Arial"/>
        </w:rPr>
      </w:pPr>
    </w:p>
    <w:p w14:paraId="31BD74B6" w14:textId="106638ED" w:rsidR="00F91474" w:rsidRPr="007E6919" w:rsidRDefault="00F91474" w:rsidP="00F91474">
      <w:pPr>
        <w:rPr>
          <w:rFonts w:ascii="Arial" w:hAnsi="Arial" w:cs="Arial"/>
          <w:b/>
          <w:sz w:val="20"/>
          <w:szCs w:val="20"/>
        </w:rPr>
      </w:pPr>
      <w:r w:rsidRPr="007E6919">
        <w:rPr>
          <w:rFonts w:ascii="Arial" w:hAnsi="Arial" w:cs="Arial"/>
          <w:b/>
          <w:sz w:val="20"/>
          <w:szCs w:val="20"/>
        </w:rPr>
        <w:t>“</w:t>
      </w:r>
      <w:r w:rsidR="0082727E">
        <w:rPr>
          <w:rFonts w:ascii="Arial" w:hAnsi="Arial" w:cs="Arial"/>
          <w:b/>
          <w:sz w:val="20"/>
          <w:szCs w:val="20"/>
        </w:rPr>
        <w:t>Access to h</w:t>
      </w:r>
      <w:r w:rsidRPr="007E6919">
        <w:rPr>
          <w:rFonts w:ascii="Arial" w:hAnsi="Arial" w:cs="Arial"/>
          <w:b/>
          <w:sz w:val="20"/>
          <w:szCs w:val="20"/>
        </w:rPr>
        <w:t>ealth</w:t>
      </w:r>
      <w:r w:rsidR="0082727E">
        <w:rPr>
          <w:rFonts w:ascii="Arial" w:hAnsi="Arial" w:cs="Arial"/>
          <w:b/>
          <w:sz w:val="20"/>
          <w:szCs w:val="20"/>
        </w:rPr>
        <w:t xml:space="preserve">care is everyone’s right. </w:t>
      </w:r>
      <w:r w:rsidRPr="007E6919">
        <w:rPr>
          <w:rFonts w:ascii="Arial" w:hAnsi="Arial" w:cs="Arial"/>
          <w:b/>
          <w:sz w:val="20"/>
          <w:szCs w:val="20"/>
        </w:rPr>
        <w:t>It is also a precondition for economic prosperity. People’s health influences economic outcomes in terms of productivity, labour supply, human capital and public spending” - European Commission Working Document on Social Investment for Growth (Feb 2013)</w:t>
      </w:r>
    </w:p>
    <w:p w14:paraId="4C19D84A" w14:textId="77777777" w:rsidR="00BA611B" w:rsidRDefault="00BA611B" w:rsidP="00BA611B">
      <w:pPr>
        <w:tabs>
          <w:tab w:val="center" w:pos="6980"/>
          <w:tab w:val="left" w:pos="8453"/>
        </w:tabs>
        <w:rPr>
          <w:rFonts w:ascii="Arial" w:hAnsi="Arial" w:cs="Arial"/>
          <w:i/>
          <w:sz w:val="16"/>
          <w:szCs w:val="16"/>
        </w:rPr>
      </w:pPr>
    </w:p>
    <w:p w14:paraId="168B6893" w14:textId="77777777" w:rsidR="00BA611B" w:rsidRPr="00BA611B" w:rsidRDefault="00BA611B" w:rsidP="00BA611B">
      <w:pPr>
        <w:tabs>
          <w:tab w:val="center" w:pos="6980"/>
          <w:tab w:val="left" w:pos="8453"/>
        </w:tabs>
        <w:rPr>
          <w:rFonts w:ascii="Arial" w:hAnsi="Arial" w:cs="Arial"/>
          <w:b/>
          <w:color w:val="FF0000"/>
        </w:rPr>
      </w:pPr>
      <w:r w:rsidRPr="00BA611B">
        <w:rPr>
          <w:rFonts w:ascii="Arial" w:hAnsi="Arial" w:cs="Arial"/>
          <w:b/>
          <w:color w:val="FF0000"/>
        </w:rPr>
        <w:t>QUOTES FOR USE: EFPIA President and Sanofi CEO Christopher Viehbacher on Working Towards a #</w:t>
      </w:r>
      <w:proofErr w:type="spellStart"/>
      <w:r w:rsidRPr="00BA611B">
        <w:rPr>
          <w:rFonts w:ascii="Arial" w:hAnsi="Arial" w:cs="Arial"/>
          <w:b/>
          <w:color w:val="FF0000"/>
        </w:rPr>
        <w:t>HealthyEU</w:t>
      </w:r>
      <w:proofErr w:type="spellEnd"/>
    </w:p>
    <w:p w14:paraId="7D379322" w14:textId="77777777" w:rsidR="00BA611B" w:rsidRDefault="00BA611B" w:rsidP="00BA611B">
      <w:pPr>
        <w:tabs>
          <w:tab w:val="center" w:pos="6980"/>
          <w:tab w:val="left" w:pos="8453"/>
        </w:tabs>
        <w:rPr>
          <w:rFonts w:ascii="Arial" w:hAnsi="Arial" w:cs="Arial"/>
          <w:i/>
          <w:sz w:val="16"/>
          <w:szCs w:val="16"/>
        </w:rPr>
      </w:pPr>
    </w:p>
    <w:p w14:paraId="26992EE2" w14:textId="108A18B0" w:rsidR="00BA611B" w:rsidRPr="0082727E" w:rsidRDefault="00BA611B" w:rsidP="00AE2E2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DA86DDD" w14:textId="5C465079" w:rsidR="00BA611B" w:rsidRPr="00053269" w:rsidRDefault="00BA611B" w:rsidP="00BA61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53269">
        <w:rPr>
          <w:rFonts w:ascii="Arial" w:hAnsi="Arial" w:cs="Arial"/>
          <w:sz w:val="20"/>
          <w:szCs w:val="20"/>
          <w:lang w:val="en-US"/>
        </w:rPr>
        <w:t>“Only a significant improvement in health outcomes, supported by increas</w:t>
      </w:r>
      <w:r>
        <w:rPr>
          <w:rFonts w:ascii="Arial" w:hAnsi="Arial" w:cs="Arial"/>
          <w:sz w:val="20"/>
          <w:szCs w:val="20"/>
          <w:lang w:val="en-US"/>
        </w:rPr>
        <w:t>ed</w:t>
      </w:r>
      <w:r w:rsidRPr="00053269">
        <w:rPr>
          <w:rFonts w:ascii="Arial" w:hAnsi="Arial" w:cs="Arial"/>
          <w:sz w:val="20"/>
          <w:szCs w:val="20"/>
          <w:lang w:val="en-US"/>
        </w:rPr>
        <w:t xml:space="preserve"> innovation, can keep healthcare expenditure under control. This requires collaboration and a change in perception</w:t>
      </w:r>
      <w:r>
        <w:rPr>
          <w:rFonts w:ascii="Arial" w:hAnsi="Arial" w:cs="Arial"/>
          <w:sz w:val="20"/>
          <w:szCs w:val="20"/>
          <w:lang w:val="en-US"/>
        </w:rPr>
        <w:t xml:space="preserve">. We need to </w:t>
      </w:r>
      <w:r w:rsidR="0082727E">
        <w:rPr>
          <w:rFonts w:ascii="Arial" w:hAnsi="Arial" w:cs="Arial"/>
          <w:sz w:val="20"/>
          <w:szCs w:val="20"/>
          <w:lang w:val="en-US"/>
        </w:rPr>
        <w:t>better understand the environmental and demographic factors driving healthcare spending</w:t>
      </w:r>
      <w:proofErr w:type="gramStart"/>
      <w:r w:rsidR="0082727E">
        <w:rPr>
          <w:rFonts w:ascii="Arial" w:hAnsi="Arial" w:cs="Arial"/>
          <w:sz w:val="20"/>
          <w:szCs w:val="20"/>
          <w:lang w:val="en-US"/>
        </w:rPr>
        <w:t>,</w:t>
      </w:r>
      <w:r w:rsidRPr="0005326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0532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what are the future needs in terms of prevention and disease management, what is the </w:t>
      </w:r>
      <w:r w:rsidRPr="00053269">
        <w:rPr>
          <w:rFonts w:ascii="Arial" w:hAnsi="Arial" w:cs="Arial"/>
          <w:sz w:val="20"/>
          <w:szCs w:val="20"/>
          <w:lang w:val="en-US"/>
        </w:rPr>
        <w:t>value of investment in different areas</w:t>
      </w:r>
      <w:r>
        <w:rPr>
          <w:rFonts w:ascii="Arial" w:hAnsi="Arial" w:cs="Arial"/>
          <w:sz w:val="20"/>
          <w:szCs w:val="20"/>
          <w:lang w:val="en-US"/>
        </w:rPr>
        <w:t xml:space="preserve"> and what innovative approaches will have the most effect</w:t>
      </w:r>
      <w:r w:rsidRPr="00053269">
        <w:rPr>
          <w:rFonts w:ascii="Arial" w:hAnsi="Arial" w:cs="Arial"/>
          <w:sz w:val="20"/>
          <w:szCs w:val="20"/>
          <w:lang w:val="en-US"/>
        </w:rPr>
        <w:t>. If we want sustainable systems, we can’t revamp just one area; we need to address the system as a whole.”</w:t>
      </w:r>
    </w:p>
    <w:p w14:paraId="218BA85B" w14:textId="77777777" w:rsidR="00BA611B" w:rsidRDefault="00BA611B" w:rsidP="00BA611B">
      <w:pPr>
        <w:tabs>
          <w:tab w:val="center" w:pos="6980"/>
          <w:tab w:val="left" w:pos="8453"/>
        </w:tabs>
        <w:rPr>
          <w:rFonts w:ascii="Arial" w:hAnsi="Arial" w:cs="Arial"/>
          <w:i/>
          <w:sz w:val="16"/>
          <w:szCs w:val="16"/>
        </w:rPr>
      </w:pPr>
    </w:p>
    <w:p w14:paraId="05C66236" w14:textId="77777777" w:rsidR="00BA611B" w:rsidRDefault="00BA611B" w:rsidP="00BA611B">
      <w:pPr>
        <w:tabs>
          <w:tab w:val="center" w:pos="6980"/>
          <w:tab w:val="left" w:pos="8453"/>
        </w:tabs>
        <w:rPr>
          <w:rFonts w:ascii="Arial" w:hAnsi="Arial" w:cs="Arial"/>
          <w:i/>
          <w:sz w:val="16"/>
          <w:szCs w:val="16"/>
        </w:rPr>
      </w:pPr>
    </w:p>
    <w:p w14:paraId="26B2591B" w14:textId="77777777" w:rsidR="00BA611B" w:rsidRPr="00053269" w:rsidRDefault="00BA611B" w:rsidP="00BA61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3269">
        <w:rPr>
          <w:rFonts w:ascii="Arial" w:hAnsi="Arial" w:cs="Arial"/>
          <w:sz w:val="20"/>
          <w:szCs w:val="20"/>
        </w:rPr>
        <w:t xml:space="preserve">“The pharmaceutical industry is driven by research &amp; development. That R&amp;D contributes to society in </w:t>
      </w:r>
      <w:r>
        <w:rPr>
          <w:rFonts w:ascii="Arial" w:hAnsi="Arial" w:cs="Arial"/>
          <w:sz w:val="20"/>
          <w:szCs w:val="20"/>
        </w:rPr>
        <w:t xml:space="preserve">many </w:t>
      </w:r>
      <w:r w:rsidRPr="00053269">
        <w:rPr>
          <w:rFonts w:ascii="Arial" w:hAnsi="Arial" w:cs="Arial"/>
          <w:sz w:val="20"/>
          <w:szCs w:val="20"/>
        </w:rPr>
        <w:t>other ways than simply creating medicines. A thriving life sciences sector is good news for Europe</w:t>
      </w:r>
      <w:r>
        <w:rPr>
          <w:rFonts w:ascii="Arial" w:hAnsi="Arial" w:cs="Arial"/>
          <w:sz w:val="20"/>
          <w:szCs w:val="20"/>
        </w:rPr>
        <w:t xml:space="preserve"> and European</w:t>
      </w:r>
      <w:r w:rsidRPr="00053269">
        <w:rPr>
          <w:rFonts w:ascii="Arial" w:hAnsi="Arial" w:cs="Arial"/>
          <w:sz w:val="20"/>
          <w:szCs w:val="20"/>
        </w:rPr>
        <w:t xml:space="preserve"> citizens. Efforts made to nurture the life sciences in Europe will pay off, in terms of health outcomes and </w:t>
      </w:r>
      <w:r>
        <w:rPr>
          <w:rFonts w:ascii="Arial" w:hAnsi="Arial" w:cs="Arial"/>
          <w:sz w:val="20"/>
          <w:szCs w:val="20"/>
        </w:rPr>
        <w:t>will drive economic growth</w:t>
      </w:r>
      <w:r w:rsidRPr="00053269">
        <w:rPr>
          <w:rFonts w:ascii="Arial" w:hAnsi="Arial" w:cs="Arial"/>
          <w:sz w:val="20"/>
          <w:szCs w:val="20"/>
        </w:rPr>
        <w:t xml:space="preserve">.” </w:t>
      </w:r>
    </w:p>
    <w:p w14:paraId="23113016" w14:textId="77777777" w:rsidR="00BA611B" w:rsidRDefault="00BA611B" w:rsidP="00BA6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6E7636" w14:textId="77777777" w:rsidR="00BA611B" w:rsidRPr="00053269" w:rsidRDefault="00BA611B" w:rsidP="00BA61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053269">
        <w:rPr>
          <w:rFonts w:ascii="Arial" w:hAnsi="Arial" w:cs="Arial"/>
          <w:sz w:val="20"/>
          <w:szCs w:val="20"/>
          <w:lang w:val="en-US"/>
        </w:rPr>
        <w:t xml:space="preserve">“Although Europe has many of the required components for leading in the life sciences sector, </w:t>
      </w:r>
      <w:r>
        <w:rPr>
          <w:rFonts w:ascii="Arial" w:hAnsi="Arial" w:cs="Arial"/>
          <w:sz w:val="20"/>
          <w:szCs w:val="20"/>
          <w:lang w:val="en-US"/>
        </w:rPr>
        <w:t xml:space="preserve">including </w:t>
      </w:r>
      <w:r w:rsidRPr="00053269">
        <w:rPr>
          <w:rFonts w:ascii="Arial" w:hAnsi="Arial" w:cs="Arial"/>
          <w:sz w:val="20"/>
          <w:szCs w:val="20"/>
          <w:lang w:val="en-US"/>
        </w:rPr>
        <w:t>boasting the highest number of the world’s research scientists</w:t>
      </w:r>
      <w:r w:rsidRPr="00053269">
        <w:rPr>
          <w:rFonts w:ascii="Arial" w:hAnsi="Arial" w:cs="Arial"/>
          <w:position w:val="12"/>
          <w:sz w:val="20"/>
          <w:szCs w:val="20"/>
          <w:lang w:val="en-US"/>
        </w:rPr>
        <w:t xml:space="preserve"> </w:t>
      </w:r>
      <w:r w:rsidRPr="00053269">
        <w:rPr>
          <w:rFonts w:ascii="Arial" w:hAnsi="Arial" w:cs="Arial"/>
          <w:sz w:val="20"/>
          <w:szCs w:val="20"/>
          <w:lang w:val="en-US"/>
        </w:rPr>
        <w:t>and a large proportion of its biotechnology patents, it faces increasingly tough competition from other areas in the world.”</w:t>
      </w:r>
    </w:p>
    <w:p w14:paraId="47B37EF2" w14:textId="77777777" w:rsidR="00BA611B" w:rsidRDefault="00BA611B" w:rsidP="008C0740">
      <w:pPr>
        <w:tabs>
          <w:tab w:val="center" w:pos="6980"/>
          <w:tab w:val="left" w:pos="8453"/>
        </w:tabs>
        <w:rPr>
          <w:rFonts w:ascii="Arial" w:hAnsi="Arial" w:cs="Arial"/>
          <w:b/>
        </w:rPr>
      </w:pPr>
    </w:p>
    <w:p w14:paraId="69C75082" w14:textId="4DB1F9D4" w:rsidR="008C0740" w:rsidRPr="003F2663" w:rsidRDefault="00870D93" w:rsidP="008C0740">
      <w:pPr>
        <w:tabs>
          <w:tab w:val="center" w:pos="6980"/>
          <w:tab w:val="left" w:pos="84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QUOTES FOR USE: </w:t>
      </w:r>
      <w:r w:rsidR="008C0740" w:rsidRPr="003F2663">
        <w:rPr>
          <w:rFonts w:ascii="Arial" w:hAnsi="Arial" w:cs="Arial"/>
          <w:b/>
        </w:rPr>
        <w:t>EFPIA Director General Richard Bergstrom</w:t>
      </w:r>
      <w:r>
        <w:rPr>
          <w:rFonts w:ascii="Arial" w:hAnsi="Arial" w:cs="Arial"/>
          <w:b/>
        </w:rPr>
        <w:t xml:space="preserve"> on Working Towards a #</w:t>
      </w:r>
      <w:proofErr w:type="spellStart"/>
      <w:r>
        <w:rPr>
          <w:rFonts w:ascii="Arial" w:hAnsi="Arial" w:cs="Arial"/>
          <w:b/>
        </w:rPr>
        <w:t>HealthyEU</w:t>
      </w:r>
      <w:proofErr w:type="spellEnd"/>
    </w:p>
    <w:p w14:paraId="1E68764D" w14:textId="77777777" w:rsidR="008C0740" w:rsidRPr="008C0740" w:rsidRDefault="008C0740" w:rsidP="008C0740">
      <w:pPr>
        <w:tabs>
          <w:tab w:val="center" w:pos="6980"/>
          <w:tab w:val="left" w:pos="8453"/>
        </w:tabs>
        <w:rPr>
          <w:rFonts w:ascii="Arial" w:hAnsi="Arial" w:cs="Arial"/>
          <w:sz w:val="16"/>
          <w:szCs w:val="16"/>
        </w:rPr>
      </w:pPr>
    </w:p>
    <w:p w14:paraId="3466F608" w14:textId="07D81D82" w:rsidR="00A0750D" w:rsidRPr="00053269" w:rsidRDefault="00053269" w:rsidP="0005326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3269">
        <w:rPr>
          <w:rFonts w:ascii="Arial" w:hAnsi="Arial" w:cs="Arial"/>
          <w:sz w:val="20"/>
          <w:szCs w:val="20"/>
        </w:rPr>
        <w:t>“</w:t>
      </w:r>
      <w:r w:rsidR="008C0740" w:rsidRPr="00053269">
        <w:rPr>
          <w:rFonts w:ascii="Arial" w:hAnsi="Arial" w:cs="Arial"/>
          <w:sz w:val="20"/>
          <w:szCs w:val="20"/>
        </w:rPr>
        <w:t xml:space="preserve">Advances in science and technology have allowed for great strides in medicines research and development, benefitting patients around the world. But </w:t>
      </w:r>
      <w:r w:rsidR="00F91474" w:rsidRPr="00053269">
        <w:rPr>
          <w:rFonts w:ascii="Arial" w:hAnsi="Arial" w:cs="Arial"/>
          <w:sz w:val="20"/>
          <w:szCs w:val="20"/>
        </w:rPr>
        <w:t>with progress come new hurdles – ensuring equal access to healthcare being one of them. This is a challenge</w:t>
      </w:r>
      <w:r w:rsidR="00A0750D" w:rsidRPr="00053269">
        <w:rPr>
          <w:rFonts w:ascii="Arial" w:hAnsi="Arial" w:cs="Arial"/>
          <w:sz w:val="20"/>
          <w:szCs w:val="20"/>
        </w:rPr>
        <w:t xml:space="preserve"> that go</w:t>
      </w:r>
      <w:r w:rsidR="00F91474" w:rsidRPr="00053269">
        <w:rPr>
          <w:rFonts w:ascii="Arial" w:hAnsi="Arial" w:cs="Arial"/>
          <w:sz w:val="20"/>
          <w:szCs w:val="20"/>
        </w:rPr>
        <w:t>es</w:t>
      </w:r>
      <w:r w:rsidR="00A0750D" w:rsidRPr="00053269">
        <w:rPr>
          <w:rFonts w:ascii="Arial" w:hAnsi="Arial" w:cs="Arial"/>
          <w:sz w:val="20"/>
          <w:szCs w:val="20"/>
        </w:rPr>
        <w:t xml:space="preserve"> beyond R&amp;D – </w:t>
      </w:r>
      <w:r w:rsidR="00F91474" w:rsidRPr="00053269">
        <w:rPr>
          <w:rFonts w:ascii="Arial" w:hAnsi="Arial" w:cs="Arial"/>
          <w:sz w:val="20"/>
          <w:szCs w:val="20"/>
        </w:rPr>
        <w:t>it</w:t>
      </w:r>
      <w:r w:rsidR="00A0750D" w:rsidRPr="00053269">
        <w:rPr>
          <w:rFonts w:ascii="Arial" w:hAnsi="Arial" w:cs="Arial"/>
          <w:sz w:val="20"/>
          <w:szCs w:val="20"/>
        </w:rPr>
        <w:t xml:space="preserve"> require</w:t>
      </w:r>
      <w:r w:rsidR="00F91474" w:rsidRPr="00053269">
        <w:rPr>
          <w:rFonts w:ascii="Arial" w:hAnsi="Arial" w:cs="Arial"/>
          <w:sz w:val="20"/>
          <w:szCs w:val="20"/>
        </w:rPr>
        <w:t>s</w:t>
      </w:r>
      <w:r w:rsidR="00A0750D" w:rsidRPr="00053269">
        <w:rPr>
          <w:rFonts w:ascii="Arial" w:hAnsi="Arial" w:cs="Arial"/>
          <w:sz w:val="20"/>
          <w:szCs w:val="20"/>
        </w:rPr>
        <w:t xml:space="preserve"> a collaborative effort among policy-makers, payers, and industry.</w:t>
      </w:r>
      <w:r w:rsidRPr="00053269">
        <w:rPr>
          <w:rFonts w:ascii="Arial" w:hAnsi="Arial" w:cs="Arial"/>
          <w:sz w:val="20"/>
          <w:szCs w:val="20"/>
        </w:rPr>
        <w:t>”</w:t>
      </w:r>
    </w:p>
    <w:p w14:paraId="34AF7385" w14:textId="77777777" w:rsidR="00A0750D" w:rsidRDefault="00A0750D" w:rsidP="00053269">
      <w:pPr>
        <w:rPr>
          <w:rFonts w:ascii="Arial" w:hAnsi="Arial" w:cs="Arial"/>
          <w:sz w:val="20"/>
          <w:szCs w:val="20"/>
        </w:rPr>
      </w:pPr>
    </w:p>
    <w:p w14:paraId="479330AA" w14:textId="34412C2A" w:rsidR="008C0740" w:rsidRPr="00053269" w:rsidRDefault="00053269" w:rsidP="0005326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3269">
        <w:rPr>
          <w:rFonts w:ascii="Arial" w:hAnsi="Arial" w:cs="Arial"/>
          <w:sz w:val="20"/>
          <w:szCs w:val="20"/>
        </w:rPr>
        <w:t>“</w:t>
      </w:r>
      <w:r w:rsidR="00A0750D" w:rsidRPr="00053269">
        <w:rPr>
          <w:rFonts w:ascii="Arial" w:hAnsi="Arial" w:cs="Arial"/>
          <w:sz w:val="20"/>
          <w:szCs w:val="20"/>
        </w:rPr>
        <w:t xml:space="preserve">As an industry, we </w:t>
      </w:r>
      <w:r w:rsidR="008C0740" w:rsidRPr="00053269">
        <w:rPr>
          <w:rFonts w:ascii="Arial" w:hAnsi="Arial" w:cs="Arial"/>
          <w:sz w:val="20"/>
          <w:szCs w:val="20"/>
        </w:rPr>
        <w:t xml:space="preserve">are now facing two distinct challenges: Improving quality of life, not just quantity of life years; and ensuring that all patients have equal access to healthcare advances. </w:t>
      </w:r>
      <w:r w:rsidR="00A0750D" w:rsidRPr="00053269">
        <w:rPr>
          <w:rFonts w:ascii="Arial" w:hAnsi="Arial" w:cs="Arial"/>
          <w:sz w:val="20"/>
          <w:szCs w:val="20"/>
        </w:rPr>
        <w:t>Medicine and healthcare are not just about extending lives, but making lives better.</w:t>
      </w:r>
      <w:r w:rsidRPr="00053269">
        <w:rPr>
          <w:rFonts w:ascii="Arial" w:hAnsi="Arial" w:cs="Arial"/>
          <w:sz w:val="20"/>
          <w:szCs w:val="20"/>
        </w:rPr>
        <w:t>”</w:t>
      </w:r>
      <w:r w:rsidR="00A0750D" w:rsidRPr="00053269">
        <w:rPr>
          <w:rFonts w:ascii="Arial" w:hAnsi="Arial" w:cs="Arial"/>
          <w:sz w:val="20"/>
          <w:szCs w:val="20"/>
        </w:rPr>
        <w:t xml:space="preserve"> </w:t>
      </w:r>
    </w:p>
    <w:p w14:paraId="1623F044" w14:textId="77777777" w:rsidR="003F2663" w:rsidRDefault="003F2663" w:rsidP="00053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49670F5" w14:textId="1AD139E4" w:rsidR="00A0750D" w:rsidRPr="00053269" w:rsidRDefault="00053269" w:rsidP="0005326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53269">
        <w:rPr>
          <w:rFonts w:ascii="Arial" w:hAnsi="Arial" w:cs="Arial"/>
          <w:sz w:val="20"/>
          <w:szCs w:val="20"/>
          <w:lang w:val="en-US"/>
        </w:rPr>
        <w:t>“</w:t>
      </w:r>
      <w:r w:rsidR="003F2663" w:rsidRPr="00053269">
        <w:rPr>
          <w:rFonts w:ascii="Arial" w:hAnsi="Arial" w:cs="Arial"/>
          <w:sz w:val="20"/>
          <w:szCs w:val="20"/>
          <w:lang w:val="en-US"/>
        </w:rPr>
        <w:t>Medicines add a different kind of value to healthcare</w:t>
      </w:r>
      <w:r w:rsidR="00A0750D" w:rsidRPr="00053269">
        <w:rPr>
          <w:rFonts w:ascii="Arial" w:hAnsi="Arial" w:cs="Arial"/>
          <w:sz w:val="20"/>
          <w:szCs w:val="20"/>
          <w:lang w:val="en-US"/>
        </w:rPr>
        <w:t xml:space="preserve"> – </w:t>
      </w:r>
      <w:r w:rsidR="003F2663" w:rsidRPr="00053269">
        <w:rPr>
          <w:rFonts w:ascii="Arial" w:hAnsi="Arial" w:cs="Arial"/>
          <w:sz w:val="20"/>
          <w:szCs w:val="20"/>
          <w:lang w:val="en-US"/>
        </w:rPr>
        <w:t xml:space="preserve">this needs to be </w:t>
      </w:r>
      <w:proofErr w:type="spellStart"/>
      <w:r w:rsidR="003F2663" w:rsidRPr="00053269">
        <w:rPr>
          <w:rFonts w:ascii="Arial" w:hAnsi="Arial" w:cs="Arial"/>
          <w:sz w:val="20"/>
          <w:szCs w:val="20"/>
          <w:lang w:val="en-US"/>
        </w:rPr>
        <w:t>recognised</w:t>
      </w:r>
      <w:proofErr w:type="spellEnd"/>
      <w:r w:rsidR="003F2663" w:rsidRPr="00053269">
        <w:rPr>
          <w:rFonts w:ascii="Arial" w:hAnsi="Arial" w:cs="Arial"/>
          <w:sz w:val="20"/>
          <w:szCs w:val="20"/>
          <w:lang w:val="en-US"/>
        </w:rPr>
        <w:t>. Through its clinical trial activities, the industry actively contributes</w:t>
      </w:r>
      <w:r w:rsidR="00A0750D" w:rsidRPr="00053269">
        <w:rPr>
          <w:rFonts w:ascii="Arial" w:hAnsi="Arial" w:cs="Arial"/>
          <w:sz w:val="20"/>
          <w:szCs w:val="20"/>
          <w:lang w:val="en-US"/>
        </w:rPr>
        <w:t xml:space="preserve"> to </w:t>
      </w:r>
      <w:r w:rsidR="003F2663" w:rsidRPr="00053269">
        <w:rPr>
          <w:rFonts w:ascii="Arial" w:hAnsi="Arial" w:cs="Arial"/>
          <w:sz w:val="20"/>
          <w:szCs w:val="20"/>
          <w:lang w:val="en-US"/>
        </w:rPr>
        <w:t>the revenues of many healthy systems. In areas like oncology, the industry may be under-writing anywhere between 5 to 15 % of medicine costs</w:t>
      </w:r>
      <w:r w:rsidR="00A0750D" w:rsidRPr="00053269">
        <w:rPr>
          <w:rFonts w:ascii="Arial" w:hAnsi="Arial" w:cs="Arial"/>
          <w:sz w:val="20"/>
          <w:szCs w:val="20"/>
          <w:lang w:val="en-US"/>
        </w:rPr>
        <w:t>. Essentially, this means that between 5% and 15% of the total value of oncology medicines used is provided free, through clinical trials.</w:t>
      </w:r>
      <w:r w:rsidRPr="00053269">
        <w:rPr>
          <w:rFonts w:ascii="Arial" w:hAnsi="Arial" w:cs="Arial"/>
          <w:sz w:val="20"/>
          <w:szCs w:val="20"/>
          <w:lang w:val="en-US"/>
        </w:rPr>
        <w:t>”</w:t>
      </w:r>
      <w:r w:rsidR="00A0750D" w:rsidRPr="0005326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1DDF5D5" w14:textId="77777777" w:rsidR="00A0750D" w:rsidRDefault="00A0750D" w:rsidP="000532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9DC15B" w14:textId="42A331A0" w:rsidR="008C0740" w:rsidRPr="00BA611B" w:rsidRDefault="00053269" w:rsidP="00BA611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53269">
        <w:rPr>
          <w:rFonts w:ascii="Arial" w:hAnsi="Arial" w:cs="Arial"/>
          <w:sz w:val="20"/>
          <w:szCs w:val="20"/>
          <w:lang w:val="en-US"/>
        </w:rPr>
        <w:t>“</w:t>
      </w:r>
      <w:r w:rsidR="008C0740" w:rsidRPr="00053269">
        <w:rPr>
          <w:rFonts w:ascii="Arial" w:hAnsi="Arial" w:cs="Arial"/>
          <w:sz w:val="20"/>
          <w:szCs w:val="20"/>
          <w:lang w:val="en-US"/>
        </w:rPr>
        <w:t xml:space="preserve">It remains true that further efficiencies in medicines expenditure can – and should – be made. But such efficiencies should </w:t>
      </w:r>
      <w:r w:rsidR="00A0750D" w:rsidRPr="00053269">
        <w:rPr>
          <w:rFonts w:ascii="Arial" w:hAnsi="Arial" w:cs="Arial"/>
          <w:sz w:val="20"/>
          <w:szCs w:val="20"/>
          <w:lang w:val="en-US"/>
        </w:rPr>
        <w:t xml:space="preserve">not compensate for, nor </w:t>
      </w:r>
      <w:proofErr w:type="spellStart"/>
      <w:r w:rsidR="00A0750D" w:rsidRPr="00053269">
        <w:rPr>
          <w:rFonts w:ascii="Arial" w:hAnsi="Arial" w:cs="Arial"/>
          <w:sz w:val="20"/>
          <w:szCs w:val="20"/>
          <w:lang w:val="en-US"/>
        </w:rPr>
        <w:t>subsidis</w:t>
      </w:r>
      <w:r w:rsidR="008C0740" w:rsidRPr="00053269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8C0740" w:rsidRPr="00053269">
        <w:rPr>
          <w:rFonts w:ascii="Arial" w:hAnsi="Arial" w:cs="Arial"/>
          <w:sz w:val="20"/>
          <w:szCs w:val="20"/>
          <w:lang w:val="en-US"/>
        </w:rPr>
        <w:t xml:space="preserve">, the failure of other parts of the system to drive out </w:t>
      </w:r>
      <w:r w:rsidR="007E6919">
        <w:rPr>
          <w:rFonts w:ascii="Arial" w:hAnsi="Arial" w:cs="Arial"/>
          <w:sz w:val="20"/>
          <w:szCs w:val="20"/>
          <w:lang w:val="en-US"/>
        </w:rPr>
        <w:t>in</w:t>
      </w:r>
      <w:r w:rsidR="008C0740" w:rsidRPr="00053269">
        <w:rPr>
          <w:rFonts w:ascii="Arial" w:hAnsi="Arial" w:cs="Arial"/>
          <w:sz w:val="20"/>
          <w:szCs w:val="20"/>
          <w:lang w:val="en-US"/>
        </w:rPr>
        <w:t>efficiencies.</w:t>
      </w:r>
      <w:r w:rsidRPr="00053269">
        <w:rPr>
          <w:rFonts w:ascii="Arial" w:hAnsi="Arial" w:cs="Arial"/>
          <w:sz w:val="20"/>
          <w:szCs w:val="20"/>
          <w:lang w:val="en-US"/>
        </w:rPr>
        <w:t>”</w:t>
      </w:r>
      <w:r w:rsidR="008C0740" w:rsidRPr="00053269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8C0740" w:rsidRPr="00BA611B" w:rsidSect="00AD5A1C">
      <w:headerReference w:type="default" r:id="rId9"/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9FE2" w14:textId="77777777" w:rsidR="00053269" w:rsidRDefault="00053269" w:rsidP="00942983">
      <w:r>
        <w:separator/>
      </w:r>
    </w:p>
  </w:endnote>
  <w:endnote w:type="continuationSeparator" w:id="0">
    <w:p w14:paraId="5463889C" w14:textId="77777777" w:rsidR="00053269" w:rsidRDefault="00053269" w:rsidP="0094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884C" w14:textId="77777777" w:rsidR="00053269" w:rsidRDefault="00053269" w:rsidP="00942983">
      <w:r>
        <w:separator/>
      </w:r>
    </w:p>
  </w:footnote>
  <w:footnote w:type="continuationSeparator" w:id="0">
    <w:p w14:paraId="291F7396" w14:textId="77777777" w:rsidR="00053269" w:rsidRDefault="00053269" w:rsidP="00942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1045" w14:textId="13693789" w:rsidR="00053269" w:rsidRDefault="00053269" w:rsidP="00972012">
    <w:pPr>
      <w:tabs>
        <w:tab w:val="center" w:pos="6980"/>
        <w:tab w:val="left" w:pos="8453"/>
      </w:tabs>
      <w:rPr>
        <w:rFonts w:ascii="Arial" w:hAnsi="Arial" w:cs="Arial"/>
        <w:b/>
      </w:rPr>
    </w:pPr>
    <w:r w:rsidRPr="00972012">
      <w:rPr>
        <w:rFonts w:ascii="Times" w:hAnsi="Times" w:cs="Times"/>
        <w:noProof/>
        <w:lang w:val="en-US"/>
      </w:rPr>
      <w:drawing>
        <wp:inline distT="0" distB="0" distL="0" distR="0" wp14:anchorId="4BD40C84" wp14:editId="52861600">
          <wp:extent cx="1027218" cy="51360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18" cy="51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20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</w:t>
    </w:r>
    <w:r w:rsidRPr="00972012">
      <w:rPr>
        <w:rFonts w:ascii="Arial" w:hAnsi="Arial" w:cs="Arial"/>
        <w:b/>
      </w:rPr>
      <w:t xml:space="preserve">Key </w:t>
    </w:r>
    <w:proofErr w:type="gramStart"/>
    <w:r w:rsidRPr="00972012">
      <w:rPr>
        <w:rFonts w:ascii="Arial" w:hAnsi="Arial" w:cs="Arial"/>
        <w:b/>
      </w:rPr>
      <w:t xml:space="preserve">Messages </w:t>
    </w:r>
    <w:r>
      <w:rPr>
        <w:rFonts w:ascii="Arial" w:hAnsi="Arial" w:cs="Arial"/>
        <w:b/>
      </w:rPr>
      <w:t>:</w:t>
    </w:r>
    <w:proofErr w:type="gramEnd"/>
    <w:r w:rsidRPr="0097201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The </w:t>
    </w:r>
    <w:r w:rsidRPr="00972012">
      <w:rPr>
        <w:rFonts w:ascii="Arial" w:hAnsi="Arial" w:cs="Arial"/>
        <w:b/>
      </w:rPr>
      <w:t>Health &amp; Growth Campaign Towards a #</w:t>
    </w:r>
    <w:proofErr w:type="spellStart"/>
    <w:r w:rsidRPr="00972012">
      <w:rPr>
        <w:rFonts w:ascii="Arial" w:hAnsi="Arial" w:cs="Arial"/>
        <w:b/>
      </w:rPr>
      <w:t>HealthyEU</w:t>
    </w:r>
    <w:proofErr w:type="spellEnd"/>
  </w:p>
  <w:p w14:paraId="5C117DC3" w14:textId="3745A897" w:rsidR="00053269" w:rsidRDefault="00053269" w:rsidP="00972012">
    <w:pPr>
      <w:tabs>
        <w:tab w:val="center" w:pos="6980"/>
        <w:tab w:val="left" w:pos="845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57325"/>
    <w:multiLevelType w:val="hybridMultilevel"/>
    <w:tmpl w:val="2C0E8FAE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>
    <w:nsid w:val="08E3102D"/>
    <w:multiLevelType w:val="hybridMultilevel"/>
    <w:tmpl w:val="605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100"/>
    <w:multiLevelType w:val="multilevel"/>
    <w:tmpl w:val="456A4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4B3"/>
    <w:multiLevelType w:val="hybridMultilevel"/>
    <w:tmpl w:val="EAC08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470F"/>
    <w:multiLevelType w:val="hybridMultilevel"/>
    <w:tmpl w:val="81D2C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4AE4"/>
    <w:multiLevelType w:val="hybridMultilevel"/>
    <w:tmpl w:val="C43C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A0C80"/>
    <w:multiLevelType w:val="hybridMultilevel"/>
    <w:tmpl w:val="6B841E54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>
    <w:nsid w:val="21127018"/>
    <w:multiLevelType w:val="multilevel"/>
    <w:tmpl w:val="535AF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BAF"/>
    <w:multiLevelType w:val="hybridMultilevel"/>
    <w:tmpl w:val="BD5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72DB"/>
    <w:multiLevelType w:val="hybridMultilevel"/>
    <w:tmpl w:val="9AF6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7F33"/>
    <w:multiLevelType w:val="hybridMultilevel"/>
    <w:tmpl w:val="1BEA47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712126"/>
    <w:multiLevelType w:val="hybridMultilevel"/>
    <w:tmpl w:val="BAF279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4B74F0"/>
    <w:multiLevelType w:val="hybridMultilevel"/>
    <w:tmpl w:val="C736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2AEC"/>
    <w:multiLevelType w:val="hybridMultilevel"/>
    <w:tmpl w:val="B156A3D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>
    <w:nsid w:val="35AC3FFD"/>
    <w:multiLevelType w:val="hybridMultilevel"/>
    <w:tmpl w:val="FBAEEB4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>
    <w:nsid w:val="39442CAF"/>
    <w:multiLevelType w:val="hybridMultilevel"/>
    <w:tmpl w:val="E5C2E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0F0ECF"/>
    <w:multiLevelType w:val="hybridMultilevel"/>
    <w:tmpl w:val="903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93D1E"/>
    <w:multiLevelType w:val="hybridMultilevel"/>
    <w:tmpl w:val="B2B2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77707"/>
    <w:multiLevelType w:val="hybridMultilevel"/>
    <w:tmpl w:val="456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09BB"/>
    <w:multiLevelType w:val="hybridMultilevel"/>
    <w:tmpl w:val="63A8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9435D"/>
    <w:multiLevelType w:val="hybridMultilevel"/>
    <w:tmpl w:val="173A7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0FDC"/>
    <w:multiLevelType w:val="hybridMultilevel"/>
    <w:tmpl w:val="1EB461E6"/>
    <w:lvl w:ilvl="0" w:tplc="217A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0069"/>
    <w:multiLevelType w:val="hybridMultilevel"/>
    <w:tmpl w:val="3E6C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9541C"/>
    <w:multiLevelType w:val="hybridMultilevel"/>
    <w:tmpl w:val="0A7A6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7B6EBE"/>
    <w:multiLevelType w:val="hybridMultilevel"/>
    <w:tmpl w:val="65E0C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44443"/>
    <w:multiLevelType w:val="hybridMultilevel"/>
    <w:tmpl w:val="61D2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E4F86"/>
    <w:multiLevelType w:val="hybridMultilevel"/>
    <w:tmpl w:val="38E2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52115"/>
    <w:multiLevelType w:val="hybridMultilevel"/>
    <w:tmpl w:val="CC0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915F4"/>
    <w:multiLevelType w:val="hybridMultilevel"/>
    <w:tmpl w:val="56C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16B8E"/>
    <w:multiLevelType w:val="hybridMultilevel"/>
    <w:tmpl w:val="605E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079E"/>
    <w:multiLevelType w:val="hybridMultilevel"/>
    <w:tmpl w:val="DBB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62D61"/>
    <w:multiLevelType w:val="multilevel"/>
    <w:tmpl w:val="456A4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5"/>
  </w:num>
  <w:num w:numId="5">
    <w:abstractNumId w:val="21"/>
  </w:num>
  <w:num w:numId="6">
    <w:abstractNumId w:val="17"/>
  </w:num>
  <w:num w:numId="7">
    <w:abstractNumId w:val="13"/>
  </w:num>
  <w:num w:numId="8">
    <w:abstractNumId w:val="30"/>
  </w:num>
  <w:num w:numId="9">
    <w:abstractNumId w:val="18"/>
  </w:num>
  <w:num w:numId="10">
    <w:abstractNumId w:val="29"/>
  </w:num>
  <w:num w:numId="11">
    <w:abstractNumId w:val="10"/>
  </w:num>
  <w:num w:numId="12">
    <w:abstractNumId w:val="26"/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24"/>
  </w:num>
  <w:num w:numId="18">
    <w:abstractNumId w:val="28"/>
  </w:num>
  <w:num w:numId="19">
    <w:abstractNumId w:val="14"/>
  </w:num>
  <w:num w:numId="20">
    <w:abstractNumId w:val="1"/>
  </w:num>
  <w:num w:numId="21">
    <w:abstractNumId w:val="16"/>
  </w:num>
  <w:num w:numId="22">
    <w:abstractNumId w:val="27"/>
  </w:num>
  <w:num w:numId="23">
    <w:abstractNumId w:val="31"/>
  </w:num>
  <w:num w:numId="24">
    <w:abstractNumId w:val="11"/>
  </w:num>
  <w:num w:numId="25">
    <w:abstractNumId w:val="12"/>
  </w:num>
  <w:num w:numId="26">
    <w:abstractNumId w:val="19"/>
  </w:num>
  <w:num w:numId="27">
    <w:abstractNumId w:val="32"/>
  </w:num>
  <w:num w:numId="28">
    <w:abstractNumId w:val="3"/>
  </w:num>
  <w:num w:numId="29">
    <w:abstractNumId w:val="6"/>
  </w:num>
  <w:num w:numId="30">
    <w:abstractNumId w:val="22"/>
  </w:num>
  <w:num w:numId="31">
    <w:abstractNumId w:val="8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9B"/>
    <w:rsid w:val="00047C9E"/>
    <w:rsid w:val="00053269"/>
    <w:rsid w:val="001E4919"/>
    <w:rsid w:val="00237C67"/>
    <w:rsid w:val="00244ED1"/>
    <w:rsid w:val="00370B69"/>
    <w:rsid w:val="003B2C6C"/>
    <w:rsid w:val="003F2663"/>
    <w:rsid w:val="00514455"/>
    <w:rsid w:val="005255BB"/>
    <w:rsid w:val="007E6919"/>
    <w:rsid w:val="0082727E"/>
    <w:rsid w:val="00870D93"/>
    <w:rsid w:val="008A0761"/>
    <w:rsid w:val="008C0740"/>
    <w:rsid w:val="00942983"/>
    <w:rsid w:val="00972012"/>
    <w:rsid w:val="00973E9A"/>
    <w:rsid w:val="009A4248"/>
    <w:rsid w:val="00A0750D"/>
    <w:rsid w:val="00A56D9B"/>
    <w:rsid w:val="00AD5A1C"/>
    <w:rsid w:val="00AE2E28"/>
    <w:rsid w:val="00BA611B"/>
    <w:rsid w:val="00BA6EF2"/>
    <w:rsid w:val="00BC7E32"/>
    <w:rsid w:val="00C1488F"/>
    <w:rsid w:val="00D20ECB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2853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D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D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9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6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9B"/>
    <w:rPr>
      <w:lang w:val="en-GB"/>
    </w:rPr>
  </w:style>
  <w:style w:type="character" w:customStyle="1" w:styleId="apple-converted-space">
    <w:name w:val="apple-converted-space"/>
    <w:basedOn w:val="DefaultParagraphFont"/>
    <w:rsid w:val="001E4919"/>
  </w:style>
  <w:style w:type="table" w:styleId="TableGrid">
    <w:name w:val="Table Grid"/>
    <w:basedOn w:val="TableNormal"/>
    <w:uiPriority w:val="59"/>
    <w:rsid w:val="00AD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D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D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9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6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9B"/>
    <w:rPr>
      <w:lang w:val="en-GB"/>
    </w:rPr>
  </w:style>
  <w:style w:type="character" w:customStyle="1" w:styleId="apple-converted-space">
    <w:name w:val="apple-converted-space"/>
    <w:basedOn w:val="DefaultParagraphFont"/>
    <w:rsid w:val="001E4919"/>
  </w:style>
  <w:style w:type="table" w:styleId="TableGrid">
    <w:name w:val="Table Grid"/>
    <w:basedOn w:val="TableNormal"/>
    <w:uiPriority w:val="59"/>
    <w:rsid w:val="00AD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F9A00-C70D-5B42-A4FD-F1A767D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EFPIA</dc:creator>
  <cp:lastModifiedBy>Giulia Biasi</cp:lastModifiedBy>
  <cp:revision>2</cp:revision>
  <cp:lastPrinted>2014-04-29T07:07:00Z</cp:lastPrinted>
  <dcterms:created xsi:type="dcterms:W3CDTF">2016-02-16T09:12:00Z</dcterms:created>
  <dcterms:modified xsi:type="dcterms:W3CDTF">2016-02-16T09:12:00Z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2023122732</vt:i4>
  </property>
  <property fmtid="{D5CDD505-2E9C-101B-9397-08002B2CF9AE}" pid="3" name="_NewReviewCycle">
    <vt:lpwstr/>
  </property>
  <property fmtid="{D5CDD505-2E9C-101B-9397-08002B2CF9AE}" pid="4" name="_EmailSubject">
    <vt:lpwstr>EFPIA Annual Review Edito</vt:lpwstr>
  </property>
  <property fmtid="{D5CDD505-2E9C-101B-9397-08002B2CF9AE}" pid="5" name="_AuthorEmail">
    <vt:lpwstr>Rachel.Mooney@sanofi.com</vt:lpwstr>
  </property>
  <property fmtid="{D5CDD505-2E9C-101B-9397-08002B2CF9AE}" pid="6" name="_AuthorEmailDisplayName">
    <vt:lpwstr>Mooney, Rachel PH/FR</vt:lpwstr>
  </property>
</Properties>
</file>